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75"/>
        <w:ind w:left="0"/>
        <w:jc w:val="right"/>
      </w:pPr>
      <w:r/>
      <w:r/>
    </w:p>
    <w:p>
      <w:pPr>
        <w:ind w:left="1400" w:hanging="1400"/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12 к Договору подряда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400" w:hanging="1400"/>
        <w:jc w:val="right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№________ от______________20__ 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before="20" w:after="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before="20" w:after="2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160" w:line="259" w:lineRule="auto"/>
        <w:tabs>
          <w:tab w:val="left" w:pos="1134" w:leader="none"/>
        </w:tabs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Критерии о</w:t>
      </w:r>
      <w:bookmarkStart w:id="0" w:name="_GoBack"/>
      <w:r/>
      <w:bookmarkEnd w:id="0"/>
      <w:r>
        <w:rPr>
          <w:rFonts w:ascii="Times New Roman" w:hAnsi="Times New Roman" w:eastAsia="Calibri" w:cs="Times New Roman"/>
          <w:b/>
          <w:sz w:val="26"/>
          <w:szCs w:val="26"/>
        </w:rPr>
        <w:t xml:space="preserve">тбора Банков-Гарантов</w:t>
      </w: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both"/>
        <w:spacing w:after="160" w:line="264" w:lineRule="auto"/>
        <w:shd w:val="clear" w:color="auto" w:fill="ffffff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ab/>
        <w:t xml:space="preserve">Банк-Гарант (кредитная организация), выдающий банковскую гарантию, должен входить в перечень Банков-Гарантов Группы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РусГидро</w:t>
      </w:r>
      <w:r>
        <w:rPr>
          <w:rFonts w:ascii="Times New Roman" w:hAnsi="Times New Roman" w:eastAsia="Calibri" w:cs="Times New Roman"/>
          <w:sz w:val="26"/>
          <w:szCs w:val="26"/>
          <w:vertAlign w:val="superscript"/>
        </w:rPr>
        <w:footnoteReference w:id="2"/>
      </w:r>
      <w:r>
        <w:rPr>
          <w:rFonts w:ascii="Times New Roman" w:hAnsi="Times New Roman" w:eastAsia="Calibri" w:cs="Times New Roman"/>
          <w:sz w:val="26"/>
          <w:szCs w:val="26"/>
        </w:rPr>
        <w:t xml:space="preserve">, а также соответствовать следующим критериям: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Иметь действующую лицензию Центрального банка Российской Федерации (далее – ЦБ РФ), разрешающую выдачу банковских гарантий. При этом лицензия не должна быть приостановлена полностью или частично.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pStyle w:val="971"/>
        <w:numPr>
          <w:ilvl w:val="0"/>
          <w:numId w:val="20"/>
        </w:numPr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Быть включенн</w:t>
      </w:r>
      <w:r>
        <w:rPr>
          <w:rFonts w:ascii="Times New Roman" w:hAnsi="Times New Roman" w:eastAsia="Calibri" w:cs="Times New Roman"/>
          <w:sz w:val="26"/>
          <w:szCs w:val="26"/>
        </w:rPr>
        <w:t xml:space="preserve">ым в Перечень кредитных организаций, соответствующих требованиям, установленным частью 1 статьи 2 Федерального закона от 21.07.2014 № 213-ФЗ «Об открытии банковских счетов и аккредитивов, о заключении договоров банковского вклада хозяйственными обществами,</w:t>
      </w:r>
      <w:r>
        <w:rPr>
          <w:rFonts w:ascii="Times New Roman" w:hAnsi="Times New Roman" w:eastAsia="Calibri" w:cs="Times New Roman"/>
          <w:sz w:val="26"/>
          <w:szCs w:val="26"/>
        </w:rPr>
        <w:t xml:space="preserve">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- 213-ФЗ) или иным документом, его заменяющим (в случае отмены 21</w:t>
      </w:r>
      <w:r>
        <w:rPr>
          <w:rFonts w:ascii="Times New Roman" w:hAnsi="Times New Roman" w:eastAsia="Calibri" w:cs="Times New Roman"/>
          <w:sz w:val="26"/>
          <w:szCs w:val="26"/>
        </w:rPr>
        <w:t xml:space="preserve">3-ФЗ).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Иметь собственные средства (капитал) в размере не менее 30 млрд. (тридцати миллиардов) рублей на 01 января текущего календарного года, размер которого опубликован на официальном сайте ЦБ РФ в информационно-телекоммуникационной сети «Интернет» (</w:t>
      </w:r>
      <w:hyperlink r:id="rId11" w:tooltip="http://www.cbr.ru" w:history="1">
        <w:r>
          <w:rPr>
            <w:rFonts w:ascii="Times New Roman" w:hAnsi="Times New Roman" w:eastAsia="Calibri" w:cs="Times New Roman"/>
            <w:sz w:val="26"/>
            <w:szCs w:val="26"/>
          </w:rPr>
          <w:t xml:space="preserve">www.cbr.ru</w:t>
        </w:r>
      </w:hyperlink>
      <w:r>
        <w:rPr>
          <w:rFonts w:ascii="Times New Roman" w:hAnsi="Times New Roman" w:eastAsia="Calibri" w:cs="Times New Roman"/>
          <w:sz w:val="26"/>
          <w:szCs w:val="26"/>
        </w:rPr>
        <w:t xml:space="preserve">) по строке 000 «Расчет собственных средств (капитала) («Базель III»)», код формы 0409123 и рассчитанного в соответствии с Положением Банка России от 04.07.2018 № 646-П «О методике определения с</w:t>
      </w:r>
      <w:r>
        <w:rPr>
          <w:rFonts w:ascii="Times New Roman" w:hAnsi="Times New Roman" w:eastAsia="Calibri" w:cs="Times New Roman"/>
          <w:sz w:val="26"/>
          <w:szCs w:val="26"/>
        </w:rPr>
        <w:t xml:space="preserve">обственных средств (капитала) кредитных организаций («Базель III»)» (далее – Положение) или иным документом, его заменяющим (в случае отмены Положения).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Иметь кредитный рейтинг по национальной шкале не ниже уровня «А» рейтингового агентства АКРА или не ниж</w:t>
      </w:r>
      <w:r>
        <w:rPr>
          <w:rFonts w:ascii="Times New Roman" w:hAnsi="Times New Roman" w:eastAsia="Calibri" w:cs="Times New Roman"/>
          <w:sz w:val="26"/>
          <w:szCs w:val="26"/>
        </w:rPr>
        <w:t xml:space="preserve">е уровня «</w:t>
      </w:r>
      <w:r>
        <w:rPr>
          <w:rFonts w:ascii="Times New Roman" w:hAnsi="Times New Roman" w:eastAsia="Calibri" w:cs="Times New Roman"/>
          <w:sz w:val="26"/>
          <w:szCs w:val="26"/>
        </w:rPr>
        <w:t xml:space="preserve">ruА</w:t>
      </w:r>
      <w:r>
        <w:rPr>
          <w:rFonts w:ascii="Times New Roman" w:hAnsi="Times New Roman" w:eastAsia="Calibri" w:cs="Times New Roman"/>
          <w:sz w:val="26"/>
          <w:szCs w:val="26"/>
        </w:rPr>
        <w:t xml:space="preserve">» рейтингового агентства Эксперт РА. В случае 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</w:t>
      </w:r>
      <w:r>
        <w:rPr>
          <w:rFonts w:ascii="Times New Roman" w:hAnsi="Times New Roman" w:eastAsia="Calibri" w:cs="Times New Roman"/>
          <w:sz w:val="26"/>
          <w:szCs w:val="26"/>
        </w:rPr>
        <w:t xml:space="preserve"> «</w:t>
      </w:r>
      <w:r>
        <w:rPr>
          <w:rFonts w:ascii="Times New Roman" w:hAnsi="Times New Roman" w:eastAsia="Calibri" w:cs="Times New Roman"/>
          <w:sz w:val="26"/>
          <w:szCs w:val="26"/>
        </w:rPr>
        <w:t xml:space="preserve">Fitch-Ratings</w:t>
      </w:r>
      <w:r>
        <w:rPr>
          <w:rFonts w:ascii="Times New Roman" w:hAnsi="Times New Roman" w:eastAsia="Calibri" w:cs="Times New Roman"/>
          <w:sz w:val="26"/>
          <w:szCs w:val="26"/>
        </w:rPr>
        <w:t xml:space="preserve">» или «</w:t>
      </w:r>
      <w:r>
        <w:rPr>
          <w:rFonts w:ascii="Times New Roman" w:hAnsi="Times New Roman" w:eastAsia="Calibri" w:cs="Times New Roman"/>
          <w:sz w:val="26"/>
          <w:szCs w:val="26"/>
        </w:rPr>
        <w:t xml:space="preserve">Standard</w:t>
      </w:r>
      <w:r>
        <w:rPr>
          <w:rFonts w:ascii="Times New Roman" w:hAnsi="Times New Roman" w:eastAsia="Calibri" w:cs="Times New Roman"/>
          <w:sz w:val="26"/>
          <w:szCs w:val="26"/>
        </w:rPr>
        <w:t xml:space="preserve"> &amp; </w:t>
      </w:r>
      <w:r>
        <w:rPr>
          <w:rFonts w:ascii="Times New Roman" w:hAnsi="Times New Roman" w:eastAsia="Calibri" w:cs="Times New Roman"/>
          <w:sz w:val="26"/>
          <w:szCs w:val="26"/>
        </w:rPr>
        <w:t xml:space="preserve">Poor's</w:t>
      </w:r>
      <w:r>
        <w:rPr>
          <w:rFonts w:ascii="Times New Roman" w:hAnsi="Times New Roman" w:eastAsia="Calibri" w:cs="Times New Roman"/>
          <w:sz w:val="26"/>
          <w:szCs w:val="26"/>
        </w:rPr>
        <w:t xml:space="preserve">» либо уровня «Bа2» по классификации рейтингового агентства «</w:t>
      </w:r>
      <w:r>
        <w:rPr>
          <w:rFonts w:ascii="Times New Roman" w:hAnsi="Times New Roman" w:eastAsia="Calibri" w:cs="Times New Roman"/>
          <w:sz w:val="26"/>
          <w:szCs w:val="26"/>
        </w:rPr>
        <w:t xml:space="preserve">Moody's</w:t>
      </w:r>
      <w:r>
        <w:rPr>
          <w:rFonts w:ascii="Times New Roman" w:hAnsi="Times New Roman" w:eastAsia="Calibri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Investors</w:t>
      </w:r>
      <w:r>
        <w:rPr>
          <w:rFonts w:ascii="Times New Roman" w:hAnsi="Times New Roman" w:eastAsia="Calibri" w:cs="Times New Roman"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sz w:val="26"/>
          <w:szCs w:val="26"/>
        </w:rPr>
        <w:t xml:space="preserve">Service</w:t>
      </w:r>
      <w:r>
        <w:rPr>
          <w:rFonts w:ascii="Times New Roman" w:hAnsi="Times New Roman" w:eastAsia="Calibri" w:cs="Times New Roman"/>
          <w:sz w:val="26"/>
          <w:szCs w:val="26"/>
        </w:rPr>
        <w:t xml:space="preserve">»</w:t>
      </w:r>
      <w:r>
        <w:rPr>
          <w:rFonts w:ascii="Times New Roman" w:hAnsi="Times New Roman" w:eastAsia="Calibri" w:cs="Times New Roman"/>
          <w:sz w:val="26"/>
          <w:szCs w:val="26"/>
          <w:vertAlign w:val="superscript"/>
        </w:rPr>
        <w:footnoteReference w:id="3"/>
      </w:r>
      <w:r>
        <w:rPr>
          <w:rFonts w:ascii="Times New Roman" w:hAnsi="Times New Roman" w:eastAsia="Calibri" w:cs="Times New Roman"/>
          <w:sz w:val="26"/>
          <w:szCs w:val="26"/>
        </w:rPr>
        <w:t xml:space="preserve">. 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pStyle w:val="971"/>
        <w:ind w:left="0"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Указанные рейтинги должны быть действительными и не могут находиться в состоянии «отозван» или «приостановлен» или «на пересмотре - прогноз негативный».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Участвовать в системе обязательного страхования вкладов физических лиц в банках Российской Федерации в </w:t>
      </w:r>
      <w:r>
        <w:rPr>
          <w:rFonts w:ascii="Times New Roman" w:hAnsi="Times New Roman" w:eastAsia="Calibri" w:cs="Times New Roman"/>
          <w:sz w:val="26"/>
          <w:szCs w:val="26"/>
        </w:rPr>
        <w:t xml:space="preserve">соответствии с Федеральным законом от 23.12.2003 №177-ФЗ «О страховании вкладов в банках Российской Федерации».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Не находиться в процессе финансового оздоровления (санации), а также в Реестре банков, находящихся в процессе финансового оздоровления (опублико</w:t>
      </w:r>
      <w:r>
        <w:rPr>
          <w:rFonts w:ascii="Times New Roman" w:hAnsi="Times New Roman" w:eastAsia="Calibri" w:cs="Times New Roman"/>
          <w:sz w:val="26"/>
          <w:szCs w:val="26"/>
        </w:rPr>
        <w:t xml:space="preserve">ван в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разделе «Оздоровление банков» сайта Государственной корпорации «Агентство по страхованию вкладов» (http://www.asv.org.ru)).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Не иметь просроченную задолженность перед Обществом и компаниями Группы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РусГидро</w:t>
      </w:r>
      <w:r>
        <w:rPr>
          <w:rFonts w:ascii="Times New Roman" w:hAnsi="Times New Roman" w:eastAsia="Calibri" w:cs="Times New Roman"/>
          <w:sz w:val="26"/>
          <w:szCs w:val="26"/>
        </w:rPr>
        <w:t xml:space="preserve">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Присутствовать (иметь отделение, филиал) по </w:t>
      </w:r>
      <w:r>
        <w:rPr>
          <w:rFonts w:ascii="Times New Roman" w:hAnsi="Times New Roman" w:eastAsia="Calibri" w:cs="Times New Roman"/>
          <w:sz w:val="26"/>
          <w:szCs w:val="26"/>
        </w:rPr>
        <w:t xml:space="preserve">месту нахождения Общества, его Филиала, для нужд которого заключается Договор.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tabs>
          <w:tab w:val="left" w:pos="1134" w:leader="none"/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Критерии, установленные в пунктах 3,4 и 6 настоящих Критериев, не распространяются на кредитные организации: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1"/>
          <w:numId w:val="20"/>
        </w:numPr>
        <w:contextualSpacing/>
        <w:ind w:left="0" w:firstLine="709"/>
        <w:jc w:val="both"/>
        <w:spacing w:after="0" w:line="264" w:lineRule="auto"/>
        <w:tabs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В отношении которых или в отношении лиц, под контролем либо значител</w:t>
      </w:r>
      <w:r>
        <w:rPr>
          <w:rFonts w:ascii="Times New Roman" w:hAnsi="Times New Roman" w:eastAsia="Calibri" w:cs="Times New Roman"/>
          <w:sz w:val="26"/>
          <w:szCs w:val="26"/>
        </w:rPr>
        <w:t xml:space="preserve">ьным влиянием которых находятся кредитные организации, по состоянию на 1 января 2015 г.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</w:t>
      </w:r>
      <w:r>
        <w:rPr>
          <w:rFonts w:ascii="Times New Roman" w:hAnsi="Times New Roman" w:eastAsia="Calibri" w:cs="Times New Roman"/>
          <w:sz w:val="26"/>
          <w:szCs w:val="26"/>
        </w:rPr>
        <w:t xml:space="preserve">, в которой могут размещаться средства федерального бюджета на банковских депозитах в соответствии с Постановлением Правительства РФ от 24.12.2011 № 1121 «О порядке размещения средств федерального бюджета, средств единого казначейского счета и резерва сред</w:t>
      </w:r>
      <w:r>
        <w:rPr>
          <w:rFonts w:ascii="Times New Roman" w:hAnsi="Times New Roman" w:eastAsia="Calibri" w:cs="Times New Roman"/>
          <w:sz w:val="26"/>
          <w:szCs w:val="26"/>
        </w:rPr>
        <w:t xml:space="preserve">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1"/>
          <w:numId w:val="20"/>
        </w:numPr>
        <w:contextualSpacing/>
        <w:ind w:left="0" w:firstLine="709"/>
        <w:jc w:val="both"/>
        <w:spacing w:after="0" w:line="264" w:lineRule="auto"/>
        <w:tabs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Основной целью деятельности которых является реализация программ поддержки малого и среднего предприни</w:t>
      </w:r>
      <w:r>
        <w:rPr>
          <w:rFonts w:ascii="Times New Roman" w:hAnsi="Times New Roman" w:eastAsia="Calibri" w:cs="Times New Roman"/>
          <w:sz w:val="26"/>
          <w:szCs w:val="26"/>
        </w:rPr>
        <w:t xml:space="preserve">мательства в соответствии с Федеральным законом от 24.07.2007 № 209-ФЗ «О развитии малого и среднего предпринимательства в Российской Федерации» и Указом Президента Российской Федерации от 05.06.2015 № 287 «О мерах по дальнейшему развитию малого и среднего</w:t>
      </w:r>
      <w:r>
        <w:rPr>
          <w:rFonts w:ascii="Times New Roman" w:hAnsi="Times New Roman" w:eastAsia="Calibri" w:cs="Times New Roman"/>
          <w:sz w:val="26"/>
          <w:szCs w:val="26"/>
        </w:rPr>
        <w:t xml:space="preserve"> предпринимательства».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1"/>
          <w:numId w:val="20"/>
        </w:numPr>
        <w:contextualSpacing/>
        <w:ind w:left="0" w:firstLine="709"/>
        <w:jc w:val="both"/>
        <w:spacing w:after="0" w:line="264" w:lineRule="auto"/>
        <w:tabs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Утвержденную Наблюдательным советом Некоммерческого партнерства «Совет рынка» в качестве уполномоченной кредитной организации, ответственной за проведение расчетов между субъектами ОРЭМ.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numPr>
          <w:ilvl w:val="0"/>
          <w:numId w:val="20"/>
        </w:numPr>
        <w:contextualSpacing/>
        <w:ind w:left="0" w:firstLine="709"/>
        <w:jc w:val="both"/>
        <w:spacing w:after="0" w:line="264" w:lineRule="auto"/>
        <w:tabs>
          <w:tab w:val="left" w:pos="1418" w:leader="none"/>
        </w:tabs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sz w:val="26"/>
          <w:szCs w:val="26"/>
        </w:rPr>
        <w:t xml:space="preserve">Максимальная сумма всех одновременно действующ</w:t>
      </w:r>
      <w:r>
        <w:rPr>
          <w:rFonts w:ascii="Times New Roman" w:hAnsi="Times New Roman" w:eastAsia="Calibri" w:cs="Times New Roman"/>
          <w:sz w:val="26"/>
          <w:szCs w:val="26"/>
        </w:rPr>
        <w:t xml:space="preserve">их банковских гарантий, выданных одной кредитной организацией, обеспечивающих обязательства контрагента перед Обществом или компаниями Группы </w:t>
      </w:r>
      <w:r>
        <w:rPr>
          <w:rFonts w:ascii="Times New Roman" w:hAnsi="Times New Roman" w:eastAsia="Calibri" w:cs="Times New Roman"/>
          <w:sz w:val="26"/>
          <w:szCs w:val="26"/>
        </w:rPr>
        <w:t xml:space="preserve">РусГидро</w:t>
      </w:r>
      <w:r>
        <w:rPr>
          <w:rFonts w:ascii="Times New Roman" w:hAnsi="Times New Roman" w:eastAsia="Calibri" w:cs="Times New Roman"/>
          <w:sz w:val="26"/>
          <w:szCs w:val="26"/>
        </w:rPr>
        <w:t xml:space="preserve">, не должна превышать размер лимита риска, определяемого по формуле: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p>
      <w:pPr>
        <w:ind w:left="360"/>
        <w:jc w:val="center"/>
        <w:spacing w:after="160" w:line="264" w:lineRule="auto"/>
        <w:rPr>
          <w:rFonts w:ascii="Times New Roman" w:hAnsi="Times New Roman" w:eastAsia="Calibri" w:cs="Times New Roman"/>
          <w:sz w:val="26"/>
          <w:szCs w:val="26"/>
        </w:rPr>
      </w:pPr>
      <w:r>
        <w:rPr>
          <w:rFonts w:ascii="Times New Roman" w:hAnsi="Times New Roman" w:eastAsia="Calibri" w:cs="Times New Roman"/>
          <w:b/>
          <w:i/>
          <w:sz w:val="26"/>
          <w:szCs w:val="26"/>
        </w:rPr>
        <w:t xml:space="preserve">LimAi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  = </w:t>
      </w:r>
      <w:r>
        <w:rPr>
          <w:rFonts w:ascii="Times New Roman" w:hAnsi="Times New Roman" w:eastAsia="Calibri" w:cs="Times New Roman"/>
          <w:b/>
          <w:i/>
          <w:sz w:val="26"/>
          <w:szCs w:val="26"/>
        </w:rPr>
        <w:t xml:space="preserve">ri</w:t>
      </w:r>
      <w:r>
        <w:rPr>
          <w:rFonts w:ascii="Times New Roman" w:hAnsi="Times New Roman" w:eastAsia="Calibri" w:cs="Times New Roman"/>
          <w:b/>
          <w:i/>
          <w:sz w:val="26"/>
          <w:szCs w:val="26"/>
        </w:rPr>
        <w:t xml:space="preserve"> </w:t>
      </w:r>
      <w:r>
        <w:rPr>
          <w:rFonts w:ascii="Times New Roman" w:hAnsi="Times New Roman" w:eastAsia="Calibri" w:cs="Times New Roman"/>
          <w:b/>
          <w:sz w:val="26"/>
          <w:szCs w:val="26"/>
        </w:rPr>
        <w:t xml:space="preserve">×  </w:t>
      </w:r>
      <w:r>
        <w:rPr>
          <w:rFonts w:ascii="Times New Roman" w:hAnsi="Times New Roman" w:eastAsia="Calibri" w:cs="Times New Roman"/>
          <w:b/>
          <w:i/>
          <w:sz w:val="26"/>
          <w:szCs w:val="26"/>
        </w:rPr>
        <w:t xml:space="preserve">СKi</w:t>
      </w:r>
      <w:r>
        <w:rPr>
          <w:rFonts w:ascii="Times New Roman" w:hAnsi="Times New Roman" w:eastAsia="Calibri" w:cs="Times New Roman"/>
          <w:sz w:val="26"/>
          <w:szCs w:val="26"/>
        </w:rPr>
        <w:t xml:space="preserve">, где</w:t>
      </w:r>
      <w:r>
        <w:rPr>
          <w:rFonts w:ascii="Times New Roman" w:hAnsi="Times New Roman" w:eastAsia="Calibri" w:cs="Times New Roman"/>
          <w:sz w:val="26"/>
          <w:szCs w:val="26"/>
        </w:rPr>
      </w:r>
      <w:r>
        <w:rPr>
          <w:rFonts w:ascii="Times New Roman" w:hAnsi="Times New Roman" w:eastAsia="Calibri" w:cs="Times New Roman"/>
          <w:sz w:val="26"/>
          <w:szCs w:val="26"/>
        </w:rPr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05"/>
      </w:tblGrid>
      <w:tr>
        <w:tblPrEx/>
        <w:trPr>
          <w:trHeight w:val="426"/>
        </w:trPr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Lim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val="en-US" w:eastAsia="ru-RU"/>
              </w:rPr>
              <w:t xml:space="preserve">Ai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left="317" w:right="-108" w:hanging="317"/>
              <w:jc w:val="both"/>
              <w:spacing w:after="0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- 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Лимит риска для i-ой кредитной организации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vertAlign w:val="superscript"/>
                <w:lang w:eastAsia="ru-RU"/>
              </w:rPr>
              <w:footnoteReference w:id="4"/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</w:tr>
      <w:tr>
        <w:tblPrEx/>
        <w:trPr>
          <w:trHeight w:val="280"/>
        </w:trPr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val="en-US" w:eastAsia="ru-RU"/>
              </w:rPr>
              <w:t xml:space="preserve">K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val="en-US"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eastAsia="ru-RU"/>
              </w:rPr>
            </w:r>
          </w:p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after="0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информационно-телекоммуникационной сети «Интернет» (</w:t>
            </w:r>
            <w:hyperlink r:id="rId12" w:tooltip="http://www.cbr.ru" w:history="1">
              <w:r>
                <w:rPr>
                  <w:rFonts w:ascii="Times New Roman" w:hAnsi="Times New Roman" w:eastAsia="Times New Roman" w:cs="Times New Roman"/>
                  <w:sz w:val="26"/>
                  <w:szCs w:val="26"/>
                  <w:lang w:eastAsia="ru-RU"/>
                </w:rPr>
                <w:t xml:space="preserve">www.cbr.ru</w:t>
              </w:r>
            </w:hyperlink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) по строке 000 «Расчет собственных средств (капитала) («Базель III»)», код формы 0409123;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/>
              </w:rPr>
            </w:r>
          </w:p>
        </w:tc>
      </w:tr>
      <w:tr>
        <w:tblPrEx/>
        <w:trPr>
          <w:trHeight w:val="993"/>
        </w:trPr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r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vertAlign w:val="subscript"/>
                <w:lang w:eastAsia="ru-RU"/>
              </w:rPr>
              <w:t xml:space="preserve">i</w:t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right="-108"/>
              <w:spacing w:after="0"/>
              <w:widowControl w:val="off"/>
              <w:tabs>
                <w:tab w:val="left" w:pos="7130" w:leader="none"/>
              </w:tabs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рейтинговый коэффициент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vertAlign w:val="superscript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для i-ой кредитной организации, равный: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ind w:firstLine="492"/>
              <w:jc w:val="both"/>
              <w:spacing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0,05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- если i-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ая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кредитная организация имеет национальный рейтинг кредитоспособности не ниже уровня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«АА-»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val="en-US" w:eastAsia="ru-RU"/>
              </w:rPr>
              <w:t xml:space="preserve">A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-»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по классификации рейтингового агентства Эксперт РА;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  <w:p>
            <w:pPr>
              <w:ind w:left="67" w:firstLine="425"/>
              <w:jc w:val="both"/>
              <w:spacing w:after="160"/>
              <w:rPr>
                <w:rFonts w:ascii="Times New Roman" w:hAnsi="Times New Roman" w:eastAsia="Calibri" w:cs="Times New Roman"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0,02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- если i-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ая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кредитная орг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анизация имеет национальный рейтинг кредитоспособности не ниже уровня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«А-»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по классификации рейтингового агентства АКРА или не ниже уровня 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ruA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 xml:space="preserve">-»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 xml:space="preserve"> по классификации рейтингового агентства Эксперт РА;</w:t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  <w:r>
              <w:rPr>
                <w:rFonts w:ascii="Times New Roman" w:hAnsi="Times New Roman" w:eastAsia="Calibri" w:cs="Times New Roman"/>
                <w:sz w:val="26"/>
                <w:szCs w:val="26"/>
              </w:rPr>
            </w:r>
          </w:p>
          <w:p>
            <w:pPr>
              <w:ind w:firstLine="492"/>
              <w:jc w:val="both"/>
              <w:spacing w:after="0"/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0,01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- если i-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ая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кредитная организация имеет национальный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рейтинг кредитоспособности не ниже уровня 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val="en-US" w:eastAsia="ru-RU"/>
              </w:rPr>
              <w:t xml:space="preserve">BB</w:t>
            </w: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  <w:lang w:eastAsia="ru-RU"/>
              </w:rPr>
              <w:t xml:space="preserve">+»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по классификации рейтингового агентства АКРА или не ниже уровня «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val="en-US" w:eastAsia="ru-RU"/>
              </w:rPr>
              <w:t xml:space="preserve">ruBB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+» по классификации рейтингового агентства Эксперт РА, а также находится в процессе финансового оздоровления (санации).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</w:r>
          </w:p>
        </w:tc>
      </w:tr>
    </w:tbl>
    <w:p>
      <w:pPr>
        <w:pStyle w:val="975"/>
        <w:ind w:left="1400" w:hanging="140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ind w:left="1400" w:hanging="140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ind w:left="1400" w:hanging="140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5"/>
        <w:ind w:left="1400" w:hanging="140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60"/>
        <w:gridCol w:w="4875"/>
        <w:gridCol w:w="26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522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593" w:type="dxa"/>
            <w:textDirection w:val="lrTb"/>
            <w:noWrap w:val="false"/>
          </w:tcPr>
          <w:tbl>
            <w:tblPr>
              <w:tblW w:w="10031" w:type="dxa"/>
              <w:tblLook w:val="0000" w:firstRow="0" w:lastRow="0" w:firstColumn="0" w:lastColumn="0" w:noHBand="0" w:noVBand="0"/>
            </w:tblPr>
            <w:tblGrid>
              <w:gridCol w:w="4710"/>
              <w:gridCol w:w="5321"/>
            </w:tblGrid>
            <w:tr>
              <w:tblPrEx/>
              <w:trPr/>
              <w:tc>
                <w:tcPr>
                  <w:tcW w:w="4710" w:type="dxa"/>
                  <w:textDirection w:val="lrTb"/>
                  <w:noWrap w:val="false"/>
                </w:tcPr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____________________/ 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«_____» ___________20__г.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5321" w:type="dxa"/>
                  <w:textDirection w:val="lrTb"/>
                  <w:noWrap w:val="false"/>
                </w:tcPr>
                <w:p>
                  <w:pPr>
                    <w:contextualSpacing w:val="0"/>
                    <w:ind w:firstLine="0"/>
                    <w:jc w:val="left"/>
                    <w:spacing w:before="0"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ind w:firstLine="0"/>
                    <w:jc w:val="left"/>
                    <w:spacing w:before="0"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ind w:firstLine="0"/>
                    <w:jc w:val="left"/>
                    <w:spacing w:before="0"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  <w:suppressLineNumbers w:val="0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____________________/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«_____»_______________20__г.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  <w:p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М.П.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0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75"/>
        <w:ind w:left="1400" w:hanging="1400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397" w:right="567" w:bottom="737" w:left="1440" w:header="709" w:footer="204" w:gutter="0"/>
      <w:pgNumType w:start="75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jc w:val="center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74</w:t>
    </w:r>
    <w:r>
      <w:fldChar w:fldCharType="end"/>
    </w:r>
    <w:r/>
  </w:p>
  <w:p>
    <w:pPr>
      <w:pStyle w:val="96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rPr>
        <w:rStyle w:val="970"/>
      </w:rPr>
      <w:framePr w:wrap="around" w:vAnchor="text" w:hAnchor="margin" w:xAlign="right" w:y="1"/>
    </w:pPr>
    <w:r>
      <w:rPr>
        <w:rStyle w:val="970"/>
      </w:rPr>
      <w:fldChar w:fldCharType="begin"/>
    </w:r>
    <w:r>
      <w:rPr>
        <w:rStyle w:val="970"/>
      </w:rPr>
      <w:instrText xml:space="preserve">PAGE  </w:instrText>
    </w:r>
    <w:r>
      <w:rPr>
        <w:rStyle w:val="970"/>
      </w:rPr>
      <w:fldChar w:fldCharType="end"/>
    </w:r>
    <w:r>
      <w:rPr>
        <w:rStyle w:val="970"/>
      </w:rPr>
    </w:r>
    <w:r>
      <w:rPr>
        <w:rStyle w:val="970"/>
      </w:rPr>
    </w:r>
  </w:p>
  <w:p>
    <w:pPr>
      <w:pStyle w:val="96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80"/>
        <w:jc w:val="both"/>
        <w:rPr>
          <w:sz w:val="22"/>
          <w:szCs w:val="22"/>
        </w:rPr>
      </w:pPr>
      <w:r>
        <w:rPr>
          <w:rStyle w:val="979"/>
          <w:sz w:val="22"/>
          <w:szCs w:val="22"/>
        </w:rPr>
        <w:t xml:space="preserve">1</w:t>
      </w:r>
      <w:r>
        <w:rPr>
          <w:sz w:val="22"/>
          <w:szCs w:val="22"/>
        </w:rPr>
        <w:t xml:space="preserve"> </w:t>
      </w:r>
      <w:r>
        <w:t xml:space="preserve">Актуальный Перечень Банков-Гарантов Группы </w:t>
      </w:r>
      <w:r>
        <w:t xml:space="preserve">РусГидро</w:t>
      </w:r>
      <w:r>
        <w:t xml:space="preserve"> размещен на официальном сайте (</w:t>
      </w:r>
      <w:hyperlink r:id="rId1" w:tooltip="http://zakupki.rushydro.ru/PublicContent/Section/6" w:history="1">
        <w:r>
          <w:t xml:space="preserve">http://zakupki.rushydro.ru/PublicContent/Section/6</w:t>
        </w:r>
      </w:hyperlink>
      <w:r>
        <w:t xml:space="preserve">).</w:t>
      </w:r>
      <w:r>
        <w:rPr>
          <w:sz w:val="22"/>
          <w:szCs w:val="22"/>
        </w:rPr>
      </w:r>
      <w:r>
        <w:rPr>
          <w:sz w:val="22"/>
          <w:szCs w:val="22"/>
        </w:rPr>
      </w:r>
    </w:p>
  </w:footnote>
  <w:footnote w:id="3">
    <w:p>
      <w:pPr>
        <w:pStyle w:val="980"/>
        <w:jc w:val="both"/>
      </w:pPr>
      <w:r>
        <w:rPr>
          <w:rStyle w:val="979"/>
          <w:sz w:val="22"/>
          <w:szCs w:val="22"/>
        </w:rPr>
        <w:t xml:space="preserve">2</w:t>
      </w:r>
      <w:r>
        <w:rPr>
          <w:sz w:val="22"/>
          <w:szCs w:val="22"/>
        </w:rPr>
        <w:t xml:space="preserve"> </w:t>
      </w:r>
      <w:r>
        <w:t xml:space="preserve">Если кредитная организация имеет рейтинги кредитоспособности разных уровней, при</w:t>
      </w:r>
      <w:r>
        <w:t xml:space="preserve">своенные разными рейтинговыми агентствами, то в качестве рейтинга кредитоспособности принимается наименьший из присвоенных (по данным сайта кредитной организации и / или рейтинговых агентств и/или из информационных систем </w:t>
      </w:r>
      <w:r>
        <w:t xml:space="preserve">Reuters</w:t>
      </w:r>
      <w:r>
        <w:t xml:space="preserve">, </w:t>
      </w:r>
      <w:r>
        <w:t xml:space="preserve">Bloomberg</w:t>
      </w:r>
      <w:r>
        <w:t xml:space="preserve">, </w:t>
      </w:r>
      <w:r>
        <w:t xml:space="preserve">Сbonds</w:t>
      </w:r>
      <w:r>
        <w:t xml:space="preserve">).</w:t>
      </w:r>
      <w:r/>
    </w:p>
  </w:footnote>
  <w:footnote w:id="4">
    <w:p>
      <w:pPr>
        <w:pStyle w:val="980"/>
        <w:jc w:val="both"/>
      </w:pPr>
      <w:r>
        <w:rPr>
          <w:rStyle w:val="979"/>
        </w:rPr>
        <w:footnoteRef/>
      </w:r>
      <w:r>
        <w:t xml:space="preserve"> </w:t>
      </w:r>
      <w:r>
        <w:rPr>
          <w:lang w:eastAsia="en-US"/>
        </w:rPr>
        <w:t xml:space="preserve">Зна</w:t>
      </w:r>
      <w:r>
        <w:rPr>
          <w:lang w:eastAsia="en-US"/>
        </w:rPr>
        <w:t xml:space="preserve">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отде</w:t>
      </w:r>
      <w:r>
        <w:rPr>
          <w:lang w:eastAsia="en-US"/>
        </w:rPr>
        <w:t xml:space="preserve">ляемых цифр больше 5, то значение показателя округляется в большую сторону.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44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-13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2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3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490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4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6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2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8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57" w:hanging="360"/>
        <w:tabs>
          <w:tab w:val="num" w:pos="95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97" w:hanging="360"/>
        <w:tabs>
          <w:tab w:val="num" w:pos="149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17" w:hanging="360"/>
        <w:tabs>
          <w:tab w:val="num" w:pos="221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37" w:hanging="360"/>
        <w:tabs>
          <w:tab w:val="num" w:pos="293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57" w:hanging="360"/>
        <w:tabs>
          <w:tab w:val="num" w:pos="365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77" w:hanging="360"/>
        <w:tabs>
          <w:tab w:val="num" w:pos="437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97" w:hanging="360"/>
        <w:tabs>
          <w:tab w:val="num" w:pos="509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17" w:hanging="360"/>
        <w:tabs>
          <w:tab w:val="num" w:pos="581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37" w:hanging="360"/>
        <w:tabs>
          <w:tab w:val="num" w:pos="6537" w:leader="none"/>
        </w:tabs>
      </w:pPr>
      <w:rPr>
        <w:rFonts w:hint="default" w:ascii="Wingdings" w:hAnsi="Wingdings"/>
      </w:rPr>
    </w:lvl>
  </w:abstractNum>
  <w:num w:numId="1">
    <w:abstractNumId w:val="3"/>
  </w:num>
  <w:num w:numId="2">
    <w:abstractNumId w:val="19"/>
  </w:num>
  <w:num w:numId="3">
    <w:abstractNumId w:val="4"/>
  </w:num>
  <w:num w:numId="4">
    <w:abstractNumId w:val="2"/>
  </w:num>
  <w:num w:numId="5">
    <w:abstractNumId w:val="15"/>
  </w:num>
  <w:num w:numId="6">
    <w:abstractNumId w:val="9"/>
  </w:num>
  <w:num w:numId="7">
    <w:abstractNumId w:val="16"/>
  </w:num>
  <w:num w:numId="8">
    <w:abstractNumId w:val="10"/>
  </w:num>
  <w:num w:numId="9">
    <w:abstractNumId w:val="7"/>
  </w:num>
  <w:num w:numId="10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14"/>
  </w:num>
  <w:num w:numId="14">
    <w:abstractNumId w:val="5"/>
  </w:num>
  <w:num w:numId="15">
    <w:abstractNumId w:val="18"/>
  </w:num>
  <w:num w:numId="16">
    <w:abstractNumId w:val="12"/>
  </w:num>
  <w:num w:numId="17">
    <w:abstractNumId w:val="8"/>
  </w:num>
  <w:num w:numId="18">
    <w:abstractNumId w:val="6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9">
    <w:name w:val="Heading 1 Char"/>
    <w:basedOn w:val="803"/>
    <w:link w:val="794"/>
    <w:uiPriority w:val="9"/>
    <w:rPr>
      <w:rFonts w:ascii="Arial" w:hAnsi="Arial" w:eastAsia="Arial" w:cs="Arial"/>
      <w:sz w:val="40"/>
      <w:szCs w:val="40"/>
    </w:rPr>
  </w:style>
  <w:style w:type="character" w:styleId="780">
    <w:name w:val="Heading 2 Char"/>
    <w:basedOn w:val="803"/>
    <w:link w:val="795"/>
    <w:uiPriority w:val="9"/>
    <w:rPr>
      <w:rFonts w:ascii="Arial" w:hAnsi="Arial" w:eastAsia="Arial" w:cs="Arial"/>
      <w:sz w:val="34"/>
    </w:rPr>
  </w:style>
  <w:style w:type="character" w:styleId="781">
    <w:name w:val="Heading 3 Char"/>
    <w:basedOn w:val="803"/>
    <w:link w:val="796"/>
    <w:uiPriority w:val="9"/>
    <w:rPr>
      <w:rFonts w:ascii="Arial" w:hAnsi="Arial" w:eastAsia="Arial" w:cs="Arial"/>
      <w:sz w:val="30"/>
      <w:szCs w:val="30"/>
    </w:rPr>
  </w:style>
  <w:style w:type="character" w:styleId="782">
    <w:name w:val="Heading 4 Char"/>
    <w:basedOn w:val="803"/>
    <w:link w:val="797"/>
    <w:uiPriority w:val="9"/>
    <w:rPr>
      <w:rFonts w:ascii="Arial" w:hAnsi="Arial" w:eastAsia="Arial" w:cs="Arial"/>
      <w:b/>
      <w:bCs/>
      <w:sz w:val="26"/>
      <w:szCs w:val="26"/>
    </w:rPr>
  </w:style>
  <w:style w:type="character" w:styleId="783">
    <w:name w:val="Heading 5 Char"/>
    <w:basedOn w:val="803"/>
    <w:link w:val="798"/>
    <w:uiPriority w:val="9"/>
    <w:rPr>
      <w:rFonts w:ascii="Arial" w:hAnsi="Arial" w:eastAsia="Arial" w:cs="Arial"/>
      <w:b/>
      <w:bCs/>
      <w:sz w:val="24"/>
      <w:szCs w:val="24"/>
    </w:rPr>
  </w:style>
  <w:style w:type="character" w:styleId="784">
    <w:name w:val="Heading 6 Char"/>
    <w:basedOn w:val="803"/>
    <w:link w:val="799"/>
    <w:uiPriority w:val="9"/>
    <w:rPr>
      <w:rFonts w:ascii="Arial" w:hAnsi="Arial" w:eastAsia="Arial" w:cs="Arial"/>
      <w:b/>
      <w:bCs/>
      <w:sz w:val="22"/>
      <w:szCs w:val="22"/>
    </w:rPr>
  </w:style>
  <w:style w:type="character" w:styleId="785">
    <w:name w:val="Heading 7 Char"/>
    <w:basedOn w:val="803"/>
    <w:link w:val="8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6">
    <w:name w:val="Heading 8 Char"/>
    <w:basedOn w:val="803"/>
    <w:link w:val="801"/>
    <w:uiPriority w:val="9"/>
    <w:rPr>
      <w:rFonts w:ascii="Arial" w:hAnsi="Arial" w:eastAsia="Arial" w:cs="Arial"/>
      <w:i/>
      <w:iCs/>
      <w:sz w:val="22"/>
      <w:szCs w:val="22"/>
    </w:rPr>
  </w:style>
  <w:style w:type="character" w:styleId="787">
    <w:name w:val="Heading 9 Char"/>
    <w:basedOn w:val="803"/>
    <w:link w:val="802"/>
    <w:uiPriority w:val="9"/>
    <w:rPr>
      <w:rFonts w:ascii="Arial" w:hAnsi="Arial" w:eastAsia="Arial" w:cs="Arial"/>
      <w:i/>
      <w:iCs/>
      <w:sz w:val="21"/>
      <w:szCs w:val="21"/>
    </w:rPr>
  </w:style>
  <w:style w:type="character" w:styleId="788">
    <w:name w:val="Title Char"/>
    <w:basedOn w:val="803"/>
    <w:link w:val="815"/>
    <w:uiPriority w:val="10"/>
    <w:rPr>
      <w:sz w:val="48"/>
      <w:szCs w:val="48"/>
    </w:rPr>
  </w:style>
  <w:style w:type="character" w:styleId="789">
    <w:name w:val="Subtitle Char"/>
    <w:basedOn w:val="803"/>
    <w:link w:val="817"/>
    <w:uiPriority w:val="11"/>
    <w:rPr>
      <w:sz w:val="24"/>
      <w:szCs w:val="24"/>
    </w:rPr>
  </w:style>
  <w:style w:type="character" w:styleId="790">
    <w:name w:val="Quote Char"/>
    <w:link w:val="819"/>
    <w:uiPriority w:val="29"/>
    <w:rPr>
      <w:i/>
    </w:rPr>
  </w:style>
  <w:style w:type="character" w:styleId="791">
    <w:name w:val="Intense Quote Char"/>
    <w:link w:val="821"/>
    <w:uiPriority w:val="30"/>
    <w:rPr>
      <w:i/>
    </w:rPr>
  </w:style>
  <w:style w:type="character" w:styleId="792">
    <w:name w:val="Endnote Text Char"/>
    <w:link w:val="954"/>
    <w:uiPriority w:val="99"/>
    <w:rPr>
      <w:sz w:val="20"/>
    </w:rPr>
  </w:style>
  <w:style w:type="paragraph" w:styleId="793" w:default="1">
    <w:name w:val="Normal"/>
    <w:qFormat/>
  </w:style>
  <w:style w:type="paragraph" w:styleId="794">
    <w:name w:val="Heading 1"/>
    <w:basedOn w:val="793"/>
    <w:next w:val="793"/>
    <w:link w:val="80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95">
    <w:name w:val="Heading 2"/>
    <w:basedOn w:val="793"/>
    <w:next w:val="793"/>
    <w:link w:val="80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96">
    <w:name w:val="Heading 3"/>
    <w:basedOn w:val="793"/>
    <w:next w:val="793"/>
    <w:link w:val="80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97">
    <w:name w:val="Heading 4"/>
    <w:basedOn w:val="793"/>
    <w:next w:val="793"/>
    <w:link w:val="80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8">
    <w:name w:val="Heading 5"/>
    <w:basedOn w:val="793"/>
    <w:next w:val="793"/>
    <w:link w:val="81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9">
    <w:name w:val="Heading 6"/>
    <w:basedOn w:val="793"/>
    <w:next w:val="793"/>
    <w:link w:val="81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00">
    <w:name w:val="Heading 7"/>
    <w:basedOn w:val="793"/>
    <w:next w:val="793"/>
    <w:link w:val="81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01">
    <w:name w:val="Heading 8"/>
    <w:basedOn w:val="793"/>
    <w:next w:val="793"/>
    <w:link w:val="81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02">
    <w:name w:val="Heading 9"/>
    <w:basedOn w:val="793"/>
    <w:next w:val="793"/>
    <w:link w:val="81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3" w:default="1">
    <w:name w:val="Default Paragraph Font"/>
    <w:uiPriority w:val="1"/>
    <w:semiHidden/>
    <w:unhideWhenUsed/>
  </w:style>
  <w:style w:type="table" w:styleId="8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5" w:default="1">
    <w:name w:val="No List"/>
    <w:uiPriority w:val="99"/>
    <w:semiHidden/>
    <w:unhideWhenUsed/>
  </w:style>
  <w:style w:type="character" w:styleId="806" w:customStyle="1">
    <w:name w:val="Заголовок 1 Знак"/>
    <w:basedOn w:val="803"/>
    <w:link w:val="794"/>
    <w:uiPriority w:val="9"/>
    <w:rPr>
      <w:rFonts w:ascii="Arial" w:hAnsi="Arial" w:eastAsia="Arial" w:cs="Arial"/>
      <w:sz w:val="40"/>
      <w:szCs w:val="40"/>
    </w:rPr>
  </w:style>
  <w:style w:type="character" w:styleId="807" w:customStyle="1">
    <w:name w:val="Заголовок 2 Знак"/>
    <w:basedOn w:val="803"/>
    <w:link w:val="795"/>
    <w:uiPriority w:val="9"/>
    <w:rPr>
      <w:rFonts w:ascii="Arial" w:hAnsi="Arial" w:eastAsia="Arial" w:cs="Arial"/>
      <w:sz w:val="34"/>
    </w:rPr>
  </w:style>
  <w:style w:type="character" w:styleId="808" w:customStyle="1">
    <w:name w:val="Заголовок 3 Знак"/>
    <w:basedOn w:val="803"/>
    <w:link w:val="796"/>
    <w:uiPriority w:val="9"/>
    <w:rPr>
      <w:rFonts w:ascii="Arial" w:hAnsi="Arial" w:eastAsia="Arial" w:cs="Arial"/>
      <w:sz w:val="30"/>
      <w:szCs w:val="30"/>
    </w:rPr>
  </w:style>
  <w:style w:type="character" w:styleId="809" w:customStyle="1">
    <w:name w:val="Заголовок 4 Знак"/>
    <w:basedOn w:val="803"/>
    <w:link w:val="797"/>
    <w:uiPriority w:val="9"/>
    <w:rPr>
      <w:rFonts w:ascii="Arial" w:hAnsi="Arial" w:eastAsia="Arial" w:cs="Arial"/>
      <w:b/>
      <w:bCs/>
      <w:sz w:val="26"/>
      <w:szCs w:val="26"/>
    </w:rPr>
  </w:style>
  <w:style w:type="character" w:styleId="810" w:customStyle="1">
    <w:name w:val="Заголовок 5 Знак"/>
    <w:basedOn w:val="803"/>
    <w:link w:val="798"/>
    <w:uiPriority w:val="9"/>
    <w:rPr>
      <w:rFonts w:ascii="Arial" w:hAnsi="Arial" w:eastAsia="Arial" w:cs="Arial"/>
      <w:b/>
      <w:bCs/>
      <w:sz w:val="24"/>
      <w:szCs w:val="24"/>
    </w:rPr>
  </w:style>
  <w:style w:type="character" w:styleId="811" w:customStyle="1">
    <w:name w:val="Заголовок 6 Знак"/>
    <w:basedOn w:val="803"/>
    <w:link w:val="799"/>
    <w:uiPriority w:val="9"/>
    <w:rPr>
      <w:rFonts w:ascii="Arial" w:hAnsi="Arial" w:eastAsia="Arial" w:cs="Arial"/>
      <w:b/>
      <w:bCs/>
      <w:sz w:val="22"/>
      <w:szCs w:val="22"/>
    </w:rPr>
  </w:style>
  <w:style w:type="character" w:styleId="812" w:customStyle="1">
    <w:name w:val="Заголовок 7 Знак"/>
    <w:basedOn w:val="803"/>
    <w:link w:val="8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3" w:customStyle="1">
    <w:name w:val="Заголовок 8 Знак"/>
    <w:basedOn w:val="803"/>
    <w:link w:val="801"/>
    <w:uiPriority w:val="9"/>
    <w:rPr>
      <w:rFonts w:ascii="Arial" w:hAnsi="Arial" w:eastAsia="Arial" w:cs="Arial"/>
      <w:i/>
      <w:iCs/>
      <w:sz w:val="22"/>
      <w:szCs w:val="22"/>
    </w:rPr>
  </w:style>
  <w:style w:type="character" w:styleId="814" w:customStyle="1">
    <w:name w:val="Заголовок 9 Знак"/>
    <w:basedOn w:val="803"/>
    <w:link w:val="802"/>
    <w:uiPriority w:val="9"/>
    <w:rPr>
      <w:rFonts w:ascii="Arial" w:hAnsi="Arial" w:eastAsia="Arial" w:cs="Arial"/>
      <w:i/>
      <w:iCs/>
      <w:sz w:val="21"/>
      <w:szCs w:val="21"/>
    </w:rPr>
  </w:style>
  <w:style w:type="paragraph" w:styleId="815">
    <w:name w:val="Title"/>
    <w:basedOn w:val="793"/>
    <w:next w:val="793"/>
    <w:link w:val="816"/>
    <w:uiPriority w:val="10"/>
    <w:qFormat/>
    <w:pPr>
      <w:contextualSpacing/>
      <w:spacing w:before="300"/>
    </w:pPr>
    <w:rPr>
      <w:sz w:val="48"/>
      <w:szCs w:val="48"/>
    </w:rPr>
  </w:style>
  <w:style w:type="character" w:styleId="816" w:customStyle="1">
    <w:name w:val="Заголовок Знак"/>
    <w:basedOn w:val="803"/>
    <w:link w:val="815"/>
    <w:uiPriority w:val="10"/>
    <w:rPr>
      <w:sz w:val="48"/>
      <w:szCs w:val="48"/>
    </w:rPr>
  </w:style>
  <w:style w:type="paragraph" w:styleId="817">
    <w:name w:val="Subtitle"/>
    <w:basedOn w:val="793"/>
    <w:next w:val="793"/>
    <w:link w:val="818"/>
    <w:uiPriority w:val="11"/>
    <w:qFormat/>
    <w:pPr>
      <w:spacing w:before="200"/>
    </w:pPr>
    <w:rPr>
      <w:sz w:val="24"/>
      <w:szCs w:val="24"/>
    </w:rPr>
  </w:style>
  <w:style w:type="character" w:styleId="818" w:customStyle="1">
    <w:name w:val="Подзаголовок Знак"/>
    <w:basedOn w:val="803"/>
    <w:link w:val="817"/>
    <w:uiPriority w:val="11"/>
    <w:rPr>
      <w:sz w:val="24"/>
      <w:szCs w:val="24"/>
    </w:rPr>
  </w:style>
  <w:style w:type="paragraph" w:styleId="819">
    <w:name w:val="Quote"/>
    <w:basedOn w:val="793"/>
    <w:next w:val="793"/>
    <w:link w:val="820"/>
    <w:uiPriority w:val="29"/>
    <w:qFormat/>
    <w:pPr>
      <w:ind w:left="720" w:right="720"/>
    </w:pPr>
    <w:rPr>
      <w:i/>
    </w:rPr>
  </w:style>
  <w:style w:type="character" w:styleId="820" w:customStyle="1">
    <w:name w:val="Цитата 2 Знак"/>
    <w:link w:val="819"/>
    <w:uiPriority w:val="29"/>
    <w:rPr>
      <w:i/>
    </w:rPr>
  </w:style>
  <w:style w:type="paragraph" w:styleId="821">
    <w:name w:val="Intense Quote"/>
    <w:basedOn w:val="793"/>
    <w:next w:val="793"/>
    <w:link w:val="82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2" w:customStyle="1">
    <w:name w:val="Выделенная цитата Знак"/>
    <w:link w:val="821"/>
    <w:uiPriority w:val="30"/>
    <w:rPr>
      <w:i/>
    </w:rPr>
  </w:style>
  <w:style w:type="character" w:styleId="823" w:customStyle="1">
    <w:name w:val="Header Char"/>
    <w:basedOn w:val="803"/>
    <w:uiPriority w:val="99"/>
  </w:style>
  <w:style w:type="character" w:styleId="824" w:customStyle="1">
    <w:name w:val="Footer Char"/>
    <w:basedOn w:val="803"/>
    <w:uiPriority w:val="99"/>
  </w:style>
  <w:style w:type="paragraph" w:styleId="825">
    <w:name w:val="Caption"/>
    <w:basedOn w:val="793"/>
    <w:next w:val="793"/>
    <w:link w:val="82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26" w:customStyle="1">
    <w:name w:val="Caption Char"/>
    <w:uiPriority w:val="99"/>
  </w:style>
  <w:style w:type="table" w:styleId="827">
    <w:name w:val="Table Grid"/>
    <w:basedOn w:val="80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28" w:customStyle="1">
    <w:name w:val="Table Grid Light"/>
    <w:basedOn w:val="8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9">
    <w:name w:val="Plain Table 1"/>
    <w:basedOn w:val="80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0">
    <w:name w:val="Plain Table 2"/>
    <w:basedOn w:val="80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3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2">
    <w:name w:val="Plain Table 4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Plain Table 5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4">
    <w:name w:val="Grid Table 1 Light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1 Light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2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2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2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2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3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3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3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3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4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6" w:customStyle="1">
    <w:name w:val="Grid Table 4 - Accent 1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7" w:customStyle="1">
    <w:name w:val="Grid Table 4 - Accent 2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8" w:customStyle="1">
    <w:name w:val="Grid Table 4 - Accent 3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9" w:customStyle="1">
    <w:name w:val="Grid Table 4 - Accent 4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0" w:customStyle="1">
    <w:name w:val="Grid Table 4 - Accent 5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1" w:customStyle="1">
    <w:name w:val="Grid Table 4 - Accent 6"/>
    <w:basedOn w:val="80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62">
    <w:name w:val="Grid Table 5 Dark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64" w:customStyle="1">
    <w:name w:val="Grid Table 5 Dark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5" w:customStyle="1">
    <w:name w:val="Grid Table 5 Dark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6" w:customStyle="1">
    <w:name w:val="Grid Table 5 Dark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7" w:customStyle="1">
    <w:name w:val="Grid Table 5 Dark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9">
    <w:name w:val="Grid Table 6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0" w:customStyle="1">
    <w:name w:val="Grid Table 6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1" w:customStyle="1">
    <w:name w:val="Grid Table 6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72" w:customStyle="1">
    <w:name w:val="Grid Table 6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73" w:customStyle="1">
    <w:name w:val="Grid Table 6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74" w:customStyle="1">
    <w:name w:val="Grid Table 6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5" w:customStyle="1">
    <w:name w:val="Grid Table 6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6">
    <w:name w:val="Grid Table 7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7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7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7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7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7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7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1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1 Light - Accent 2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1 Light - Accent 3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1 Light - Accent 4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st Table 1 Light - Accent 5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6"/>
    <w:basedOn w:val="80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92" w:customStyle="1">
    <w:name w:val="List Table 2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93" w:customStyle="1">
    <w:name w:val="List Table 2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94" w:customStyle="1">
    <w:name w:val="List Table 2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5" w:customStyle="1">
    <w:name w:val="List Table 2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7">
    <w:name w:val="List Table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3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4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5 Dark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5 Dark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7" w:customStyle="1">
    <w:name w:val="List Table 5 Dark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8">
    <w:name w:val="List Table 6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9" w:customStyle="1">
    <w:name w:val="List Table 6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0" w:customStyle="1">
    <w:name w:val="List Table 6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1" w:customStyle="1">
    <w:name w:val="List Table 6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22" w:customStyle="1">
    <w:name w:val="List Table 6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23" w:customStyle="1">
    <w:name w:val="List Table 6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24" w:customStyle="1">
    <w:name w:val="List Table 6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5">
    <w:name w:val="List Table 7 Colorful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7 Colorful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7 Colorful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7 Colorful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7 Colorful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7 Colorful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7 Colorful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ned - Accent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3" w:customStyle="1">
    <w:name w:val="Lined - Accent 1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4" w:customStyle="1">
    <w:name w:val="Lined - Accent 2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5" w:customStyle="1">
    <w:name w:val="Lined - Accent 3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6" w:customStyle="1">
    <w:name w:val="Lined - Accent 4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7" w:customStyle="1">
    <w:name w:val="Lined - Accent 5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8" w:customStyle="1">
    <w:name w:val="Lined - Accent 6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9" w:customStyle="1">
    <w:name w:val="Bordered &amp; Lined - Accent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0" w:customStyle="1">
    <w:name w:val="Bordered &amp; Lined - Accent 1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1" w:customStyle="1">
    <w:name w:val="Bordered &amp; Lined - Accent 2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2" w:customStyle="1">
    <w:name w:val="Bordered &amp; Lined - Accent 3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3" w:customStyle="1">
    <w:name w:val="Bordered &amp; Lined - Accent 4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4" w:customStyle="1">
    <w:name w:val="Bordered &amp; Lined - Accent 5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5" w:customStyle="1">
    <w:name w:val="Bordered &amp; Lined - Accent 6"/>
    <w:basedOn w:val="80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6" w:customStyle="1">
    <w:name w:val="Bordered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7" w:customStyle="1">
    <w:name w:val="Bordered - Accent 1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8" w:customStyle="1">
    <w:name w:val="Bordered - Accent 2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9" w:customStyle="1">
    <w:name w:val="Bordered - Accent 3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0" w:customStyle="1">
    <w:name w:val="Bordered - Accent 4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1" w:customStyle="1">
    <w:name w:val="Bordered - Accent 5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52" w:customStyle="1">
    <w:name w:val="Bordered - Accent 6"/>
    <w:basedOn w:val="80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53" w:customStyle="1">
    <w:name w:val="Footnote Text Char"/>
    <w:uiPriority w:val="99"/>
    <w:rPr>
      <w:sz w:val="18"/>
    </w:rPr>
  </w:style>
  <w:style w:type="paragraph" w:styleId="954">
    <w:name w:val="endnote text"/>
    <w:basedOn w:val="793"/>
    <w:link w:val="955"/>
    <w:uiPriority w:val="99"/>
    <w:semiHidden/>
    <w:unhideWhenUsed/>
    <w:pPr>
      <w:spacing w:after="0" w:line="240" w:lineRule="auto"/>
    </w:pPr>
    <w:rPr>
      <w:sz w:val="20"/>
    </w:rPr>
  </w:style>
  <w:style w:type="character" w:styleId="955" w:customStyle="1">
    <w:name w:val="Текст концевой сноски Знак"/>
    <w:link w:val="954"/>
    <w:uiPriority w:val="99"/>
    <w:rPr>
      <w:sz w:val="20"/>
    </w:rPr>
  </w:style>
  <w:style w:type="character" w:styleId="956">
    <w:name w:val="endnote reference"/>
    <w:basedOn w:val="803"/>
    <w:uiPriority w:val="99"/>
    <w:semiHidden/>
    <w:unhideWhenUsed/>
    <w:rPr>
      <w:vertAlign w:val="superscript"/>
    </w:rPr>
  </w:style>
  <w:style w:type="paragraph" w:styleId="957">
    <w:name w:val="toc 1"/>
    <w:basedOn w:val="793"/>
    <w:next w:val="793"/>
    <w:uiPriority w:val="39"/>
    <w:unhideWhenUsed/>
    <w:pPr>
      <w:spacing w:after="57"/>
    </w:pPr>
  </w:style>
  <w:style w:type="paragraph" w:styleId="958">
    <w:name w:val="toc 2"/>
    <w:basedOn w:val="793"/>
    <w:next w:val="793"/>
    <w:uiPriority w:val="39"/>
    <w:unhideWhenUsed/>
    <w:pPr>
      <w:ind w:left="283"/>
      <w:spacing w:after="57"/>
    </w:pPr>
  </w:style>
  <w:style w:type="paragraph" w:styleId="959">
    <w:name w:val="toc 3"/>
    <w:basedOn w:val="793"/>
    <w:next w:val="793"/>
    <w:uiPriority w:val="39"/>
    <w:unhideWhenUsed/>
    <w:pPr>
      <w:ind w:left="567"/>
      <w:spacing w:after="57"/>
    </w:pPr>
  </w:style>
  <w:style w:type="paragraph" w:styleId="960">
    <w:name w:val="toc 4"/>
    <w:basedOn w:val="793"/>
    <w:next w:val="793"/>
    <w:uiPriority w:val="39"/>
    <w:unhideWhenUsed/>
    <w:pPr>
      <w:ind w:left="850"/>
      <w:spacing w:after="57"/>
    </w:pPr>
  </w:style>
  <w:style w:type="paragraph" w:styleId="961">
    <w:name w:val="toc 5"/>
    <w:basedOn w:val="793"/>
    <w:next w:val="793"/>
    <w:uiPriority w:val="39"/>
    <w:unhideWhenUsed/>
    <w:pPr>
      <w:ind w:left="1134"/>
      <w:spacing w:after="57"/>
    </w:pPr>
  </w:style>
  <w:style w:type="paragraph" w:styleId="962">
    <w:name w:val="toc 6"/>
    <w:basedOn w:val="793"/>
    <w:next w:val="793"/>
    <w:uiPriority w:val="39"/>
    <w:unhideWhenUsed/>
    <w:pPr>
      <w:ind w:left="1417"/>
      <w:spacing w:after="57"/>
    </w:pPr>
  </w:style>
  <w:style w:type="paragraph" w:styleId="963">
    <w:name w:val="toc 7"/>
    <w:basedOn w:val="793"/>
    <w:next w:val="793"/>
    <w:uiPriority w:val="39"/>
    <w:unhideWhenUsed/>
    <w:pPr>
      <w:ind w:left="1701"/>
      <w:spacing w:after="57"/>
    </w:pPr>
  </w:style>
  <w:style w:type="paragraph" w:styleId="964">
    <w:name w:val="toc 8"/>
    <w:basedOn w:val="793"/>
    <w:next w:val="793"/>
    <w:uiPriority w:val="39"/>
    <w:unhideWhenUsed/>
    <w:pPr>
      <w:ind w:left="1984"/>
      <w:spacing w:after="57"/>
    </w:pPr>
  </w:style>
  <w:style w:type="paragraph" w:styleId="965">
    <w:name w:val="toc 9"/>
    <w:basedOn w:val="793"/>
    <w:next w:val="793"/>
    <w:uiPriority w:val="39"/>
    <w:unhideWhenUsed/>
    <w:pPr>
      <w:ind w:left="2268"/>
      <w:spacing w:after="57"/>
    </w:pPr>
  </w:style>
  <w:style w:type="paragraph" w:styleId="966">
    <w:name w:val="TOC Heading"/>
    <w:uiPriority w:val="39"/>
    <w:unhideWhenUsed/>
  </w:style>
  <w:style w:type="paragraph" w:styleId="967">
    <w:name w:val="table of figures"/>
    <w:basedOn w:val="793"/>
    <w:next w:val="793"/>
    <w:uiPriority w:val="99"/>
    <w:unhideWhenUsed/>
    <w:pPr>
      <w:spacing w:after="0"/>
    </w:pPr>
  </w:style>
  <w:style w:type="paragraph" w:styleId="968">
    <w:name w:val="Footer"/>
    <w:basedOn w:val="793"/>
    <w:link w:val="96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9" w:customStyle="1">
    <w:name w:val="Нижний колонтитул Знак"/>
    <w:basedOn w:val="803"/>
    <w:link w:val="968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0">
    <w:name w:val="page number"/>
    <w:basedOn w:val="803"/>
  </w:style>
  <w:style w:type="paragraph" w:styleId="971">
    <w:name w:val="List Paragraph"/>
    <w:basedOn w:val="793"/>
    <w:uiPriority w:val="34"/>
    <w:qFormat/>
    <w:pPr>
      <w:contextualSpacing/>
      <w:ind w:left="720"/>
    </w:pPr>
  </w:style>
  <w:style w:type="paragraph" w:styleId="972">
    <w:name w:val="Balloon Text"/>
    <w:basedOn w:val="793"/>
    <w:link w:val="97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73" w:customStyle="1">
    <w:name w:val="Текст выноски Знак"/>
    <w:basedOn w:val="803"/>
    <w:link w:val="972"/>
    <w:uiPriority w:val="99"/>
    <w:semiHidden/>
    <w:rPr>
      <w:rFonts w:ascii="Tahoma" w:hAnsi="Tahoma" w:cs="Tahoma"/>
      <w:sz w:val="16"/>
      <w:szCs w:val="16"/>
    </w:rPr>
  </w:style>
  <w:style w:type="paragraph" w:styleId="974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5">
    <w:name w:val="Body Text Indent"/>
    <w:basedOn w:val="793"/>
    <w:link w:val="976"/>
    <w:pPr>
      <w:ind w:left="36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6" w:customStyle="1">
    <w:name w:val="Основной текст с отступом Знак"/>
    <w:basedOn w:val="803"/>
    <w:link w:val="97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7">
    <w:name w:val="Header"/>
    <w:basedOn w:val="793"/>
    <w:link w:val="97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78" w:customStyle="1">
    <w:name w:val="Верхний колонтитул Знак"/>
    <w:basedOn w:val="803"/>
    <w:link w:val="977"/>
    <w:uiPriority w:val="99"/>
  </w:style>
  <w:style w:type="character" w:styleId="979">
    <w:name w:val="footnote reference"/>
    <w:rPr>
      <w:vertAlign w:val="superscript"/>
    </w:rPr>
  </w:style>
  <w:style w:type="paragraph" w:styleId="980">
    <w:name w:val="footnote text"/>
    <w:basedOn w:val="793"/>
    <w:link w:val="981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81" w:customStyle="1">
    <w:name w:val="Текст сноски Знак"/>
    <w:basedOn w:val="803"/>
    <w:link w:val="98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82">
    <w:name w:val="annotation reference"/>
    <w:basedOn w:val="803"/>
    <w:uiPriority w:val="99"/>
    <w:semiHidden/>
    <w:unhideWhenUsed/>
    <w:rPr>
      <w:sz w:val="16"/>
      <w:szCs w:val="16"/>
    </w:rPr>
  </w:style>
  <w:style w:type="paragraph" w:styleId="983">
    <w:name w:val="annotation text"/>
    <w:basedOn w:val="793"/>
    <w:link w:val="984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84" w:customStyle="1">
    <w:name w:val="Текст примечания Знак"/>
    <w:basedOn w:val="803"/>
    <w:link w:val="983"/>
    <w:uiPriority w:val="99"/>
    <w:semiHidden/>
    <w:rPr>
      <w:sz w:val="20"/>
      <w:szCs w:val="20"/>
    </w:rPr>
  </w:style>
  <w:style w:type="paragraph" w:styleId="985">
    <w:name w:val="annotation subject"/>
    <w:basedOn w:val="983"/>
    <w:next w:val="983"/>
    <w:link w:val="986"/>
    <w:uiPriority w:val="99"/>
    <w:semiHidden/>
    <w:unhideWhenUsed/>
    <w:rPr>
      <w:b/>
      <w:bCs/>
    </w:rPr>
  </w:style>
  <w:style w:type="character" w:styleId="986" w:customStyle="1">
    <w:name w:val="Тема примечания Знак"/>
    <w:basedOn w:val="984"/>
    <w:link w:val="985"/>
    <w:uiPriority w:val="99"/>
    <w:semiHidden/>
    <w:rPr>
      <w:b/>
      <w:bCs/>
      <w:sz w:val="20"/>
      <w:szCs w:val="20"/>
    </w:rPr>
  </w:style>
  <w:style w:type="character" w:styleId="987">
    <w:name w:val="Hyperlink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://www.cbr.ru" TargetMode="External"/><Relationship Id="rId12" Type="http://schemas.openxmlformats.org/officeDocument/2006/relationships/hyperlink" Target="http://www.cb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zakupki.rushydro.ru/PublicContent/Section/6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OAO 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 Виктор Андреевич</dc:creator>
  <cp:lastModifiedBy>kuzmischeva_iv</cp:lastModifiedBy>
  <cp:revision>22</cp:revision>
  <dcterms:created xsi:type="dcterms:W3CDTF">2022-02-09T02:06:00Z</dcterms:created>
  <dcterms:modified xsi:type="dcterms:W3CDTF">2026-02-10T05:10:59Z</dcterms:modified>
</cp:coreProperties>
</file>